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right"/>
      </w:pPr>
      <w:r>
        <w:drawing>
          <wp:inline distT="0" distB="0" distL="0" distR="0">
            <wp:extent cx="1428750" cy="381000"/>
            <wp:effectExtent t="0" r="0" b="0" l="0"/>
            <wp:docPr id="1" name="hawley-logo" descr="Hawley Energy logo" title="Hawley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381000"/>
                    </a:xfrm>
                    <a:prstGeom prst="rect">
                      <a:avLst/>
                    </a:prstGeom>
                  </pic:spPr>
                </pic:pic>
              </a:graphicData>
            </a:graphic>
          </wp:inline>
        </w:drawing>
      </w:r>
    </w:p>
    <w:p>
      <w:pPr>
        <w:spacing w:after="80" w:before="200"/>
      </w:pPr>
      <w:r>
        <w:rPr>
          <w:rFonts w:ascii="Arial" w:cs="Arial" w:eastAsia="Arial" w:hAnsi="Arial"/>
          <w:b/>
          <w:bCs/>
          <w:color w:val="122510"/>
          <w:sz w:val="40"/>
          <w:szCs w:val="40"/>
        </w:rPr>
        <w:t xml:space="preserve">Energy and Carbon Policy</w:t>
      </w:r>
    </w:p>
    <w:p>
      <w:pPr>
        <w:spacing w:after="240"/>
      </w:pPr>
      <w:r>
        <w:rPr>
          <w:rFonts w:ascii="Arial" w:cs="Arial" w:eastAsia="Arial" w:hAnsi="Arial"/>
          <w:i/>
          <w:iCs/>
          <w:color w:val="4B5845"/>
          <w:sz w:val="22"/>
          <w:szCs w:val="22"/>
        </w:rPr>
        <w:t xml:space="preserve">Board-approved policy template for a manufacturing business. Every bracketed item is a placeholder for you to complete.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color w:val="122510"/>
                <w:sz w:val="20"/>
                <w:szCs w:val="20"/>
              </w:rPr>
              <w:t xml:space="preserve">Document owner</w:t>
            </w:r>
          </w:p>
        </w:tc>
        <w:tc>
          <w:tcPr>
            <w:tcW w:type="dxa" w:w="64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b/>
                <w:bCs/>
                <w:color w:val="6B7A1E"/>
                <w:sz w:val="21"/>
                <w:szCs w:val="21"/>
              </w:rPr>
              <w:t xml:space="preserve">[Name, role]</w:t>
            </w:r>
            <w:r>
              <w:rPr>
                <w:sz w:val="20"/>
                <w:szCs w:val="20"/>
              </w:rPr>
              <w:t xml:space="preserve"/>
            </w:r>
          </w:p>
        </w:tc>
      </w:tr>
      <w:tr>
        <w:tc>
          <w:tcPr>
            <w:tcW w:type="dxa" w:w="26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color w:val="122510"/>
                <w:sz w:val="20"/>
                <w:szCs w:val="20"/>
              </w:rPr>
              <w:t xml:space="preserve">Approved by</w:t>
            </w:r>
          </w:p>
        </w:tc>
        <w:tc>
          <w:tcPr>
            <w:tcW w:type="dxa" w:w="64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b/>
                <w:bCs/>
                <w:color w:val="6B7A1E"/>
                <w:sz w:val="21"/>
                <w:szCs w:val="21"/>
              </w:rPr>
              <w:t xml:space="preserve">[Board or Managing Director]</w:t>
            </w:r>
            <w:r>
              <w:rPr>
                <w:sz w:val="20"/>
                <w:szCs w:val="20"/>
              </w:rPr>
              <w:t xml:space="preserve"/>
            </w:r>
          </w:p>
        </w:tc>
      </w:tr>
      <w:tr>
        <w:tc>
          <w:tcPr>
            <w:tcW w:type="dxa" w:w="26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color w:val="122510"/>
                <w:sz w:val="20"/>
                <w:szCs w:val="20"/>
              </w:rPr>
              <w:t xml:space="preserve">Approval date</w:t>
            </w:r>
          </w:p>
        </w:tc>
        <w:tc>
          <w:tcPr>
            <w:tcW w:type="dxa" w:w="64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b/>
                <w:bCs/>
                <w:color w:val="6B7A1E"/>
                <w:sz w:val="21"/>
                <w:szCs w:val="21"/>
              </w:rPr>
              <w:t xml:space="preserve">[DD/MM/YYYY]</w:t>
            </w:r>
            <w:r>
              <w:rPr>
                <w:sz w:val="20"/>
                <w:szCs w:val="20"/>
              </w:rPr>
              <w:t xml:space="preserve"/>
            </w:r>
          </w:p>
        </w:tc>
      </w:tr>
      <w:tr>
        <w:tc>
          <w:tcPr>
            <w:tcW w:type="dxa" w:w="26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color w:val="122510"/>
                <w:sz w:val="20"/>
                <w:szCs w:val="20"/>
              </w:rPr>
              <w:t xml:space="preserve">Version</w:t>
            </w:r>
          </w:p>
        </w:tc>
        <w:tc>
          <w:tcPr>
            <w:tcW w:type="dxa" w:w="64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b/>
                <w:bCs/>
                <w:color w:val="6B7A1E"/>
                <w:sz w:val="21"/>
                <w:szCs w:val="21"/>
              </w:rPr>
              <w:t xml:space="preserve">[v0.1 draft]</w:t>
            </w:r>
            <w:r>
              <w:rPr>
                <w:sz w:val="20"/>
                <w:szCs w:val="20"/>
              </w:rPr>
              <w:t xml:space="preserve"/>
            </w:r>
          </w:p>
        </w:tc>
      </w:tr>
      <w:tr>
        <w:tc>
          <w:tcPr>
            <w:tcW w:type="dxa" w:w="26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color w:val="122510"/>
                <w:sz w:val="20"/>
                <w:szCs w:val="20"/>
              </w:rPr>
              <w:t xml:space="preserve">Next review due</w:t>
            </w:r>
          </w:p>
        </w:tc>
        <w:tc>
          <w:tcPr>
            <w:tcW w:type="dxa" w:w="64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b/>
                <w:bCs/>
                <w:color w:val="6B7A1E"/>
                <w:sz w:val="21"/>
                <w:szCs w:val="21"/>
              </w:rPr>
              <w:t xml:space="preserve">[DD/MM/YYYY, see review cycle]</w:t>
            </w:r>
            <w:r>
              <w:rPr>
                <w:sz w:val="20"/>
                <w:szCs w:val="20"/>
              </w:rPr>
              <w:t xml:space="preserve"/>
            </w:r>
          </w:p>
        </w:tc>
      </w:tr>
    </w:tbl>
    <w:p>
      <w:pPr>
        <w:spacing w:after="200"/>
      </w:pPr>
    </w:p>
    <w:p>
      <w:pPr>
        <w:pStyle w:val="Heading1"/>
        <w:spacing w:after="160" w:before="280"/>
      </w:pPr>
      <w:r>
        <w:rPr>
          <w:rFonts w:ascii="Arial" w:cs="Arial" w:eastAsia="Arial" w:hAnsi="Arial"/>
          <w:b/>
          <w:bCs/>
          <w:color w:val="122510"/>
          <w:sz w:val="30"/>
          <w:szCs w:val="30"/>
        </w:rPr>
        <w:t xml:space="preserve">1. Purpose</w:t>
      </w:r>
    </w:p>
    <w:p>
      <w:pPr>
        <w:spacing w:after="120"/>
      </w:pPr>
      <w:r>
        <w:rPr>
          <w:rFonts w:ascii="Arial" w:cs="Arial" w:eastAsia="Arial" w:hAnsi="Arial"/>
          <w:b w:val="false"/>
          <w:bCs w:val="false"/>
          <w:i w:val="false"/>
          <w:iCs w:val="false"/>
          <w:color w:val="4B5845"/>
          <w:sz w:val="21"/>
          <w:szCs w:val="21"/>
        </w:rPr>
        <w:t xml:space="preserve">This policy sets out how [COMPANY NAME] manages the energy it buys and the carbon associated with its operations. It exists so that decisions about energy are made deliberately, on evidence, and with clear responsibilities, rather than case by case.</w:t>
      </w:r>
    </w:p>
    <w:p>
      <w:pPr>
        <w:spacing w:after="120"/>
      </w:pPr>
      <w:r>
        <w:rPr>
          <w:rFonts w:ascii="Arial" w:cs="Arial" w:eastAsia="Arial" w:hAnsi="Arial"/>
          <w:b w:val="false"/>
          <w:bCs w:val="false"/>
          <w:i w:val="false"/>
          <w:iCs w:val="false"/>
          <w:color w:val="4B5845"/>
          <w:sz w:val="21"/>
          <w:szCs w:val="21"/>
        </w:rPr>
        <w:t xml:space="preserve">The board of [COMPANY NAME] recognises that energy is a controllable operating cost and that the way the company measures, buys and uses it affects competitiveness, resilience and the company's responsibilities to customers and regulators.</w:t>
      </w:r>
    </w:p>
    <w:p>
      <w:pPr>
        <w:pStyle w:val="Heading1"/>
        <w:spacing w:after="160" w:before="280"/>
      </w:pPr>
      <w:r>
        <w:rPr>
          <w:rFonts w:ascii="Arial" w:cs="Arial" w:eastAsia="Arial" w:hAnsi="Arial"/>
          <w:b/>
          <w:bCs/>
          <w:color w:val="122510"/>
          <w:sz w:val="30"/>
          <w:szCs w:val="30"/>
        </w:rPr>
        <w:t xml:space="preserve">2. Scope</w:t>
      </w:r>
    </w:p>
    <w:p>
      <w:pPr>
        <w:spacing w:after="120"/>
      </w:pPr>
      <w:r>
        <w:rPr>
          <w:rFonts w:ascii="Arial" w:cs="Arial" w:eastAsia="Arial" w:hAnsi="Arial"/>
          <w:b w:val="false"/>
          <w:bCs w:val="false"/>
          <w:i w:val="false"/>
          <w:iCs w:val="false"/>
          <w:color w:val="4B5845"/>
          <w:sz w:val="21"/>
          <w:szCs w:val="21"/>
        </w:rPr>
        <w:t xml:space="preserve">This policy applies to all sites operated by [COMPANY NAME], including [SITE 1], [SITE 2], and [OTHER SITES], and to all purchased energy at those sites: electricity, gas, and [OTHER FUELS OR SOURCES].</w:t>
      </w:r>
    </w:p>
    <w:p>
      <w:pPr>
        <w:spacing w:after="120"/>
      </w:pPr>
      <w:r>
        <w:rPr>
          <w:rFonts w:ascii="Arial" w:cs="Arial" w:eastAsia="Arial" w:hAnsi="Arial"/>
          <w:b w:val="false"/>
          <w:bCs w:val="false"/>
          <w:i w:val="false"/>
          <w:iCs w:val="false"/>
          <w:color w:val="4B5845"/>
          <w:sz w:val="21"/>
          <w:szCs w:val="21"/>
        </w:rPr>
        <w:t xml:space="preserve">It covers all employees and contractors whose activities affect energy use, including production, facilities, procurement and finance.</w:t>
      </w:r>
    </w:p>
    <w:p>
      <w:pPr>
        <w:pStyle w:val="Heading1"/>
        <w:spacing w:after="160" w:before="280"/>
      </w:pPr>
      <w:r>
        <w:rPr>
          <w:rFonts w:ascii="Arial" w:cs="Arial" w:eastAsia="Arial" w:hAnsi="Arial"/>
          <w:b/>
          <w:bCs/>
          <w:color w:val="122510"/>
          <w:sz w:val="30"/>
          <w:szCs w:val="30"/>
        </w:rPr>
        <w:t xml:space="preserve">3. Responsibilities</w:t>
      </w:r>
    </w:p>
    <w:p>
      <w:pPr>
        <w:spacing w:after="120"/>
      </w:pPr>
      <w:r>
        <w:rPr>
          <w:rFonts w:ascii="Arial" w:cs="Arial" w:eastAsia="Arial" w:hAnsi="Arial"/>
          <w:b w:val="false"/>
          <w:bCs w:val="false"/>
          <w:i w:val="false"/>
          <w:iCs w:val="false"/>
          <w:color w:val="4B5845"/>
          <w:sz w:val="21"/>
          <w:szCs w:val="21"/>
        </w:rPr>
        <w:t xml:space="preserve">Roles are named so that accountability is unambiguous. Each named person may delegate tasks but not accountability.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b/>
                <w:bCs/>
                <w:color w:val="122510"/>
                <w:sz w:val="20"/>
                <w:szCs w:val="20"/>
              </w:rPr>
              <w:t xml:space="preserve">Managing Director / Board</w:t>
            </w:r>
          </w:p>
        </w:tc>
        <w:tc>
          <w:tcPr>
            <w:tcW w:type="dxa" w:w="58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color w:val="4B5845"/>
                <w:sz w:val="20"/>
                <w:szCs w:val="20"/>
              </w:rPr>
              <w:t xml:space="preserve">Approves this policy, receives the annual energy review, and allocates resources for agreed measures.</w:t>
            </w:r>
          </w:p>
        </w:tc>
      </w:tr>
      <w:tr>
        <w:tc>
          <w:tcPr>
            <w:tcW w:type="dxa" w:w="32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b/>
                <w:bCs/>
                <w:color w:val="122510"/>
                <w:sz w:val="20"/>
                <w:szCs w:val="20"/>
              </w:rPr>
              <w:t xml:space="preserve">[Director / Senior Manager with energy remit]</w:t>
            </w:r>
          </w:p>
        </w:tc>
        <w:tc>
          <w:tcPr>
            <w:tcW w:type="dxa" w:w="58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color w:val="4B5845"/>
                <w:sz w:val="20"/>
                <w:szCs w:val="20"/>
              </w:rPr>
              <w:t xml:space="preserve">Owns this policy, chairs the [monthly/quarterly] energy review, and reports to the board.</w:t>
            </w:r>
          </w:p>
        </w:tc>
      </w:tr>
      <w:tr>
        <w:tc>
          <w:tcPr>
            <w:tcW w:type="dxa" w:w="32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b/>
                <w:bCs/>
                <w:color w:val="122510"/>
                <w:sz w:val="20"/>
                <w:szCs w:val="20"/>
              </w:rPr>
              <w:t xml:space="preserve">[Energy or Facilities Lead]</w:t>
            </w:r>
          </w:p>
        </w:tc>
        <w:tc>
          <w:tcPr>
            <w:tcW w:type="dxa" w:w="58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color w:val="4B5845"/>
                <w:sz w:val="20"/>
                <w:szCs w:val="20"/>
              </w:rPr>
              <w:t xml:space="preserve">Maintains consumption data, tracks performance against baselines, coordinates metering and data collection, and prepares the annual review.</w:t>
            </w:r>
          </w:p>
        </w:tc>
      </w:tr>
      <w:tr>
        <w:tc>
          <w:tcPr>
            <w:tcW w:type="dxa" w:w="32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b/>
                <w:bCs/>
                <w:color w:val="122510"/>
                <w:sz w:val="20"/>
                <w:szCs w:val="20"/>
              </w:rPr>
              <w:t xml:space="preserve">[Procurement Lead]</w:t>
            </w:r>
          </w:p>
        </w:tc>
        <w:tc>
          <w:tcPr>
            <w:tcW w:type="dxa" w:w="58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color w:val="4B5845"/>
                <w:sz w:val="20"/>
                <w:szCs w:val="20"/>
              </w:rPr>
              <w:t xml:space="preserve">Manages energy purchasing against the procurement commitments in section 4, and keeps contract terms, rates and end dates under review.</w:t>
            </w:r>
          </w:p>
        </w:tc>
      </w:tr>
      <w:tr>
        <w:tc>
          <w:tcPr>
            <w:tcW w:type="dxa" w:w="32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b/>
                <w:bCs/>
                <w:color w:val="122510"/>
                <w:sz w:val="20"/>
                <w:szCs w:val="20"/>
              </w:rPr>
              <w:t xml:space="preserve">[Finance Lead]</w:t>
            </w:r>
          </w:p>
        </w:tc>
        <w:tc>
          <w:tcPr>
            <w:tcW w:type="dxa" w:w="58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color w:val="4B5845"/>
                <w:sz w:val="20"/>
                <w:szCs w:val="20"/>
              </w:rPr>
              <w:t xml:space="preserve">Checks energy invoices against contracted terms, books verifiable costs, and supports investment appraisal for energy measures.</w:t>
            </w:r>
          </w:p>
        </w:tc>
      </w:tr>
      <w:tr>
        <w:tc>
          <w:tcPr>
            <w:tcW w:type="dxa" w:w="3200"/>
            <w:tcBorders>
              <w:top w:val="single" w:color="C9C6B6" w:sz="1"/>
              <w:left w:val="single" w:color="C9C6B6" w:sz="1"/>
              <w:bottom w:val="single" w:color="C9C6B6" w:sz="1"/>
              <w:right w:val="single" w:color="C9C6B6" w:sz="1"/>
            </w:tcBorders>
            <w:shd w:fill="F4F2E5" w:val="clear"/>
            <w:tcMar>
              <w:top w:type="dxa" w:w="80"/>
              <w:left w:type="dxa" w:w="120"/>
              <w:bottom w:type="dxa" w:w="80"/>
              <w:right w:type="dxa" w:w="120"/>
            </w:tcMar>
          </w:tcPr>
          <w:p>
            <w:r>
              <w:rPr>
                <w:rFonts w:ascii="Arial" w:cs="Arial" w:eastAsia="Arial" w:hAnsi="Arial"/>
                <w:b/>
                <w:bCs/>
                <w:color w:val="122510"/>
                <w:sz w:val="20"/>
                <w:szCs w:val="20"/>
              </w:rPr>
              <w:t xml:space="preserve">All employees</w:t>
            </w:r>
          </w:p>
        </w:tc>
        <w:tc>
          <w:tcPr>
            <w:tcW w:type="dxa" w:w="5826"/>
            <w:tcBorders>
              <w:top w:val="single" w:color="C9C6B6" w:sz="1"/>
              <w:left w:val="single" w:color="C9C6B6" w:sz="1"/>
              <w:bottom w:val="single" w:color="C9C6B6" w:sz="1"/>
              <w:right w:val="single" w:color="C9C6B6" w:sz="1"/>
            </w:tcBorders>
            <w:tcMar>
              <w:top w:type="dxa" w:w="80"/>
              <w:left w:type="dxa" w:w="120"/>
              <w:bottom w:type="dxa" w:w="80"/>
              <w:right w:type="dxa" w:w="120"/>
            </w:tcMar>
          </w:tcPr>
          <w:p>
            <w:r>
              <w:rPr>
                <w:rFonts w:ascii="Arial" w:cs="Arial" w:eastAsia="Arial" w:hAnsi="Arial"/>
                <w:color w:val="4B5845"/>
                <w:sz w:val="20"/>
                <w:szCs w:val="20"/>
              </w:rPr>
              <w:t xml:space="preserve">Follow the operating practices that support this policy and report avoidable energy waste through [REPORTING ROUTE].</w:t>
            </w:r>
          </w:p>
        </w:tc>
      </w:tr>
    </w:tbl>
    <w:p>
      <w:pPr>
        <w:pStyle w:val="Heading1"/>
        <w:spacing w:after="160" w:before="280"/>
      </w:pPr>
      <w:r>
        <w:rPr>
          <w:rFonts w:ascii="Arial" w:cs="Arial" w:eastAsia="Arial" w:hAnsi="Arial"/>
          <w:b/>
          <w:bCs/>
          <w:color w:val="122510"/>
          <w:sz w:val="30"/>
          <w:szCs w:val="30"/>
        </w:rPr>
        <w:t xml:space="preserve">4. Commitments</w:t>
      </w:r>
    </w:p>
    <w:p>
      <w:pPr>
        <w:spacing w:after="120"/>
      </w:pPr>
      <w:r>
        <w:rPr>
          <w:rFonts w:ascii="Arial" w:cs="Arial" w:eastAsia="Arial" w:hAnsi="Arial"/>
          <w:b w:val="false"/>
          <w:bCs w:val="false"/>
          <w:i w:val="false"/>
          <w:iCs w:val="false"/>
          <w:color w:val="4B5845"/>
          <w:sz w:val="21"/>
          <w:szCs w:val="21"/>
        </w:rPr>
        <w:t xml:space="preserve">The board commits to the following. Each commitment is a working rule for how the company operates, not an aspiration.</w:t>
      </w:r>
    </w:p>
    <w:p>
      <w:pPr>
        <w:pStyle w:val="Heading2"/>
        <w:spacing w:after="120" w:before="200"/>
      </w:pPr>
      <w:r>
        <w:rPr>
          <w:rFonts w:ascii="Arial" w:cs="Arial" w:eastAsia="Arial" w:hAnsi="Arial"/>
          <w:b/>
          <w:bCs/>
          <w:color w:val="122510"/>
          <w:sz w:val="24"/>
          <w:szCs w:val="24"/>
        </w:rPr>
        <w:t xml:space="preserve">4.1 Data-led decisions</w:t>
      </w:r>
    </w:p>
    <w:p>
      <w:pPr>
        <w:pStyle w:val="ListParagraph"/>
        <w:numPr>
          <w:ilvl w:val="0"/>
          <w:numId w:val="2"/>
        </w:numPr>
        <w:spacing w:after="80"/>
      </w:pPr>
      <w:r>
        <w:rPr>
          <w:rFonts w:ascii="Arial" w:cs="Arial" w:eastAsia="Arial" w:hAnsi="Arial"/>
          <w:color w:val="4B5845"/>
          <w:sz w:val="21"/>
          <w:szCs w:val="21"/>
        </w:rPr>
        <w:t xml:space="preserve">The company will maintain an accurate record of energy consumption for every site, at the most granular level reasonably available, including half-hourly electricity data where the meter supports it.</w:t>
      </w:r>
    </w:p>
    <w:p>
      <w:pPr>
        <w:pStyle w:val="ListParagraph"/>
        <w:numPr>
          <w:ilvl w:val="0"/>
          <w:numId w:val="2"/>
        </w:numPr>
        <w:spacing w:after="80"/>
      </w:pPr>
      <w:r>
        <w:rPr>
          <w:rFonts w:ascii="Arial" w:cs="Arial" w:eastAsia="Arial" w:hAnsi="Arial"/>
          <w:color w:val="4B5845"/>
          <w:sz w:val="21"/>
          <w:szCs w:val="21"/>
        </w:rPr>
        <w:t xml:space="preserve">Investment decisions about energy will be assessed against measured consumption data and stated assumptions, not rules of thumb.</w:t>
      </w:r>
    </w:p>
    <w:p>
      <w:pPr>
        <w:pStyle w:val="ListParagraph"/>
        <w:numPr>
          <w:ilvl w:val="0"/>
          <w:numId w:val="2"/>
        </w:numPr>
        <w:spacing w:after="80"/>
      </w:pPr>
      <w:r>
        <w:rPr>
          <w:rFonts w:ascii="Arial" w:cs="Arial" w:eastAsia="Arial" w:hAnsi="Arial"/>
          <w:color w:val="4B5845"/>
          <w:sz w:val="21"/>
          <w:szCs w:val="21"/>
        </w:rPr>
        <w:t xml:space="preserve">Where a figure cannot be verified, it will be labelled as an estimate and treated as provisional.</w:t>
      </w:r>
    </w:p>
    <w:p>
      <w:pPr>
        <w:pStyle w:val="Heading2"/>
        <w:spacing w:after="120" w:before="200"/>
      </w:pPr>
      <w:r>
        <w:rPr>
          <w:rFonts w:ascii="Arial" w:cs="Arial" w:eastAsia="Arial" w:hAnsi="Arial"/>
          <w:b/>
          <w:bCs/>
          <w:color w:val="122510"/>
          <w:sz w:val="24"/>
          <w:szCs w:val="24"/>
        </w:rPr>
        <w:t xml:space="preserve">4.2 Monitoring</w:t>
      </w:r>
    </w:p>
    <w:p>
      <w:pPr>
        <w:pStyle w:val="ListParagraph"/>
        <w:numPr>
          <w:ilvl w:val="0"/>
          <w:numId w:val="2"/>
        </w:numPr>
        <w:spacing w:after="80"/>
      </w:pPr>
      <w:r>
        <w:rPr>
          <w:rFonts w:ascii="Arial" w:cs="Arial" w:eastAsia="Arial" w:hAnsi="Arial"/>
          <w:color w:val="4B5845"/>
          <w:sz w:val="21"/>
          <w:szCs w:val="21"/>
        </w:rPr>
        <w:t xml:space="preserve">Consumption will be reviewed on a [monthly/quarterly] cycle by the [Energy or Facilities Lead], and variances will be investigated and explained in writing.</w:t>
      </w:r>
    </w:p>
    <w:p>
      <w:pPr>
        <w:pStyle w:val="ListParagraph"/>
        <w:numPr>
          <w:ilvl w:val="0"/>
          <w:numId w:val="2"/>
        </w:numPr>
        <w:spacing w:after="80"/>
      </w:pPr>
      <w:r>
        <w:rPr>
          <w:rFonts w:ascii="Arial" w:cs="Arial" w:eastAsia="Arial" w:hAnsi="Arial"/>
          <w:color w:val="4B5845"/>
          <w:sz w:val="21"/>
          <w:szCs w:val="21"/>
        </w:rPr>
        <w:t xml:space="preserve">Baselines will be set from [BASELINE PERIOD] data and adjusted only for documented changes such as production volume, premises or process.</w:t>
      </w:r>
    </w:p>
    <w:p>
      <w:pPr>
        <w:pStyle w:val="Heading2"/>
        <w:spacing w:after="120" w:before="200"/>
      </w:pPr>
      <w:r>
        <w:rPr>
          <w:rFonts w:ascii="Arial" w:cs="Arial" w:eastAsia="Arial" w:hAnsi="Arial"/>
          <w:b/>
          <w:bCs/>
          <w:color w:val="122510"/>
          <w:sz w:val="24"/>
          <w:szCs w:val="24"/>
        </w:rPr>
        <w:t xml:space="preserve">4.3 Procurement discipline</w:t>
      </w:r>
    </w:p>
    <w:p>
      <w:pPr>
        <w:pStyle w:val="ListParagraph"/>
        <w:numPr>
          <w:ilvl w:val="0"/>
          <w:numId w:val="2"/>
        </w:numPr>
        <w:spacing w:after="80"/>
      </w:pPr>
      <w:r>
        <w:rPr>
          <w:rFonts w:ascii="Arial" w:cs="Arial" w:eastAsia="Arial" w:hAnsi="Arial"/>
          <w:color w:val="4B5845"/>
          <w:sz w:val="21"/>
          <w:szCs w:val="21"/>
        </w:rPr>
        <w:t xml:space="preserve">Energy contracts will be purchased against a documented requirement, with terms, rates and end dates recorded and diarised before renewal windows.</w:t>
      </w:r>
    </w:p>
    <w:p>
      <w:pPr>
        <w:pStyle w:val="ListParagraph"/>
        <w:numPr>
          <w:ilvl w:val="0"/>
          <w:numId w:val="2"/>
        </w:numPr>
        <w:spacing w:after="80"/>
      </w:pPr>
      <w:r>
        <w:rPr>
          <w:rFonts w:ascii="Arial" w:cs="Arial" w:eastAsia="Arial" w:hAnsi="Arial"/>
          <w:color w:val="4B5845"/>
          <w:sz w:val="21"/>
          <w:szCs w:val="21"/>
        </w:rPr>
        <w:t xml:space="preserve">Invoices will be checked against contracted rates as a routine control, and discrepancies will be raised with the supplier in writing.</w:t>
      </w:r>
    </w:p>
    <w:p>
      <w:pPr>
        <w:pStyle w:val="Heading2"/>
        <w:spacing w:after="120" w:before="200"/>
      </w:pPr>
      <w:r>
        <w:rPr>
          <w:rFonts w:ascii="Arial" w:cs="Arial" w:eastAsia="Arial" w:hAnsi="Arial"/>
          <w:b/>
          <w:bCs/>
          <w:color w:val="122510"/>
          <w:sz w:val="24"/>
          <w:szCs w:val="24"/>
        </w:rPr>
        <w:t xml:space="preserve">4.4 Compliance</w:t>
      </w:r>
    </w:p>
    <w:p>
      <w:pPr>
        <w:pStyle w:val="ListParagraph"/>
        <w:numPr>
          <w:ilvl w:val="0"/>
          <w:numId w:val="2"/>
        </w:numPr>
        <w:spacing w:after="80"/>
      </w:pPr>
      <w:r>
        <w:rPr>
          <w:rFonts w:ascii="Arial" w:cs="Arial" w:eastAsia="Arial" w:hAnsi="Arial"/>
          <w:color w:val="4B5845"/>
          <w:sz w:val="21"/>
          <w:szCs w:val="21"/>
        </w:rPr>
        <w:t xml:space="preserve">The company will meet the energy and carbon reporting obligations that apply to it, and will keep evidence of that compliance alongside its business records.</w:t>
      </w:r>
    </w:p>
    <w:p>
      <w:pPr>
        <w:pStyle w:val="ListParagraph"/>
        <w:numPr>
          <w:ilvl w:val="0"/>
          <w:numId w:val="2"/>
        </w:numPr>
        <w:spacing w:after="80"/>
      </w:pPr>
      <w:r>
        <w:rPr>
          <w:rFonts w:ascii="Arial" w:cs="Arial" w:eastAsia="Arial" w:hAnsi="Arial"/>
          <w:color w:val="4B5845"/>
          <w:sz w:val="21"/>
          <w:szCs w:val="21"/>
        </w:rPr>
        <w:t xml:space="preserve">Responsibility for tracking which obligations apply sits with [ROLE], supported by [ADVISER OR INTERNAL FUNCTION].</w:t>
      </w:r>
    </w:p>
    <w:p>
      <w:pPr>
        <w:pStyle w:val="Heading2"/>
        <w:spacing w:after="120" w:before="200"/>
      </w:pPr>
      <w:r>
        <w:rPr>
          <w:rFonts w:ascii="Arial" w:cs="Arial" w:eastAsia="Arial" w:hAnsi="Arial"/>
          <w:b/>
          <w:bCs/>
          <w:color w:val="122510"/>
          <w:sz w:val="24"/>
          <w:szCs w:val="24"/>
        </w:rPr>
        <w:t xml:space="preserve">4.5 Continuous improvement</w:t>
      </w:r>
    </w:p>
    <w:p>
      <w:pPr>
        <w:pStyle w:val="ListParagraph"/>
        <w:numPr>
          <w:ilvl w:val="0"/>
          <w:numId w:val="2"/>
        </w:numPr>
        <w:spacing w:after="80"/>
      </w:pPr>
      <w:r>
        <w:rPr>
          <w:rFonts w:ascii="Arial" w:cs="Arial" w:eastAsia="Arial" w:hAnsi="Arial"/>
          <w:color w:val="4B5845"/>
          <w:sz w:val="21"/>
          <w:szCs w:val="21"/>
        </w:rPr>
        <w:t xml:space="preserve">The company will maintain a live list of energy opportunities, prioritised by expected benefit, cost and disruption, and will review that list at each energy meeting.</w:t>
      </w:r>
    </w:p>
    <w:p>
      <w:pPr>
        <w:pStyle w:val="ListParagraph"/>
        <w:numPr>
          <w:ilvl w:val="0"/>
          <w:numId w:val="2"/>
        </w:numPr>
        <w:spacing w:after="80"/>
      </w:pPr>
      <w:r>
        <w:rPr>
          <w:rFonts w:ascii="Arial" w:cs="Arial" w:eastAsia="Arial" w:hAnsi="Arial"/>
          <w:color w:val="4B5845"/>
          <w:sz w:val="21"/>
          <w:szCs w:val="21"/>
        </w:rPr>
        <w:t xml:space="preserve">Completed measures will be checked against their expected effect using measured data, and the results recorded.</w:t>
      </w:r>
    </w:p>
    <w:p>
      <w:pPr>
        <w:pStyle w:val="ListParagraph"/>
        <w:numPr>
          <w:ilvl w:val="0"/>
          <w:numId w:val="2"/>
        </w:numPr>
        <w:spacing w:after="80"/>
      </w:pPr>
      <w:r>
        <w:rPr>
          <w:rFonts w:ascii="Arial" w:cs="Arial" w:eastAsia="Arial" w:hAnsi="Arial"/>
          <w:color w:val="4B5845"/>
          <w:sz w:val="21"/>
          <w:szCs w:val="21"/>
        </w:rPr>
        <w:t xml:space="preserve">The company will consider heat recovery, controls, and demand-side opportunities as part of planned investment, not as afterthoughts.</w:t>
      </w:r>
    </w:p>
    <w:p>
      <w:pPr>
        <w:pStyle w:val="Heading1"/>
        <w:spacing w:after="160" w:before="280"/>
      </w:pPr>
      <w:r>
        <w:rPr>
          <w:rFonts w:ascii="Arial" w:cs="Arial" w:eastAsia="Arial" w:hAnsi="Arial"/>
          <w:b/>
          <w:bCs/>
          <w:color w:val="122510"/>
          <w:sz w:val="30"/>
          <w:szCs w:val="30"/>
        </w:rPr>
        <w:t xml:space="preserve">5. Review cycle</w:t>
      </w:r>
    </w:p>
    <w:p>
      <w:pPr>
        <w:spacing w:after="120"/>
      </w:pPr>
      <w:r>
        <w:rPr>
          <w:rFonts w:ascii="Arial" w:cs="Arial" w:eastAsia="Arial" w:hAnsi="Arial"/>
          <w:b w:val="false"/>
          <w:bCs w:val="false"/>
          <w:i w:val="false"/>
          <w:iCs w:val="false"/>
          <w:color w:val="4B5845"/>
          <w:sz w:val="21"/>
          <w:szCs w:val="21"/>
        </w:rPr>
        <w:t xml:space="preserve">This policy will be reviewed [annually] by [ROLE], or sooner if there is a material change: a new site, a major process change, a change in applicable obligations, or a significant shift in energy costs.</w:t>
      </w:r>
    </w:p>
    <w:p>
      <w:pPr>
        <w:spacing w:after="120"/>
      </w:pPr>
      <w:r>
        <w:rPr>
          <w:rFonts w:ascii="Arial" w:cs="Arial" w:eastAsia="Arial" w:hAnsi="Arial"/>
          <w:b w:val="false"/>
          <w:bCs w:val="false"/>
          <w:i w:val="false"/>
          <w:iCs w:val="false"/>
          <w:color w:val="4B5845"/>
          <w:sz w:val="21"/>
          <w:szCs w:val="21"/>
        </w:rPr>
        <w:t xml:space="preserve">The review will consider: whether commitments are being met, the status of the opportunity list, the accuracy of monitoring, and whether responsibilities remain correct for the current organisation structure.</w:t>
      </w:r>
    </w:p>
    <w:p>
      <w:pPr>
        <w:spacing w:after="120"/>
      </w:pPr>
      <w:r>
        <w:rPr>
          <w:rFonts w:ascii="Arial" w:cs="Arial" w:eastAsia="Arial" w:hAnsi="Arial"/>
          <w:b w:val="false"/>
          <w:bCs w:val="false"/>
          <w:i w:val="false"/>
          <w:iCs w:val="false"/>
          <w:color w:val="4B5845"/>
          <w:sz w:val="21"/>
          <w:szCs w:val="21"/>
        </w:rPr>
        <w:t xml:space="preserve">Changes are approved by the board and recorded in the version control box on page 1.</w:t>
      </w:r>
    </w:p>
    <w:p>
      <w:r>
        <w:br w:type="page"/>
      </w:r>
    </w:p>
    <w:p>
      <w:pPr>
        <w:pStyle w:val="Heading1"/>
        <w:spacing w:after="160" w:before="280"/>
      </w:pPr>
      <w:r>
        <w:rPr>
          <w:rFonts w:ascii="Arial" w:cs="Arial" w:eastAsia="Arial" w:hAnsi="Arial"/>
          <w:b/>
          <w:bCs/>
          <w:color w:val="122510"/>
          <w:sz w:val="30"/>
          <w:szCs w:val="30"/>
        </w:rPr>
        <w:t xml:space="preserve">Guidance notes: how to adapt this template</w:t>
      </w:r>
    </w:p>
    <w:p>
      <w:pPr>
        <w:spacing w:after="120"/>
      </w:pPr>
      <w:r>
        <w:rPr>
          <w:rFonts w:ascii="Arial" w:cs="Arial" w:eastAsia="Arial" w:hAnsi="Arial"/>
          <w:b w:val="false"/>
          <w:bCs w:val="false"/>
          <w:i/>
          <w:iCs/>
          <w:color w:val="4B5845"/>
          <w:sz w:val="21"/>
          <w:szCs w:val="21"/>
        </w:rPr>
        <w:t xml:space="preserve">These notes are guidance for you. They are not part of the policy and should be removed before adoption.</w:t>
      </w:r>
    </w:p>
    <w:p>
      <w:pPr>
        <w:pStyle w:val="Heading2"/>
        <w:spacing w:after="120" w:before="200"/>
      </w:pPr>
      <w:r>
        <w:rPr>
          <w:rFonts w:ascii="Arial" w:cs="Arial" w:eastAsia="Arial" w:hAnsi="Arial"/>
          <w:b/>
          <w:bCs/>
          <w:color w:val="122510"/>
          <w:sz w:val="24"/>
          <w:szCs w:val="24"/>
        </w:rPr>
        <w:t xml:space="preserve">Making it yours</w:t>
      </w:r>
    </w:p>
    <w:p>
      <w:pPr>
        <w:pStyle w:val="ListParagraph"/>
        <w:numPr>
          <w:ilvl w:val="0"/>
          <w:numId w:val="2"/>
        </w:numPr>
        <w:spacing w:after="80"/>
      </w:pPr>
      <w:r>
        <w:rPr>
          <w:rFonts w:ascii="Arial" w:cs="Arial" w:eastAsia="Arial" w:hAnsi="Arial"/>
          <w:color w:val="4B5845"/>
          <w:sz w:val="21"/>
          <w:szCs w:val="21"/>
        </w:rPr>
        <w:t xml:space="preserve">Replace every [BRACKETED] placeholder. Delete any section that genuinely does not apply, and say in the board minutes why it was removed.</w:t>
      </w:r>
    </w:p>
    <w:p>
      <w:pPr>
        <w:pStyle w:val="ListParagraph"/>
        <w:numPr>
          <w:ilvl w:val="0"/>
          <w:numId w:val="2"/>
        </w:numPr>
        <w:spacing w:after="80"/>
      </w:pPr>
      <w:r>
        <w:rPr>
          <w:rFonts w:ascii="Arial" w:cs="Arial" w:eastAsia="Arial" w:hAnsi="Arial"/>
          <w:color w:val="4B5845"/>
          <w:sz w:val="21"/>
          <w:szCs w:val="21"/>
        </w:rPr>
        <w:t xml:space="preserve">Name real people in section 3. A policy with job titles but no named owners tends not to be operated.</w:t>
      </w:r>
    </w:p>
    <w:p>
      <w:pPr>
        <w:pStyle w:val="ListParagraph"/>
        <w:numPr>
          <w:ilvl w:val="0"/>
          <w:numId w:val="2"/>
        </w:numPr>
        <w:spacing w:after="80"/>
      </w:pPr>
      <w:r>
        <w:rPr>
          <w:rFonts w:ascii="Arial" w:cs="Arial" w:eastAsia="Arial" w:hAnsi="Arial"/>
          <w:color w:val="4B5845"/>
          <w:sz w:val="21"/>
          <w:szCs w:val="21"/>
        </w:rPr>
        <w:t xml:space="preserve">Keep the commitments that reflect how you actually want to run the business. A short policy that is followed beats a long policy that is filed.</w:t>
      </w:r>
    </w:p>
    <w:p>
      <w:pPr>
        <w:pStyle w:val="Heading2"/>
        <w:spacing w:after="120" w:before="200"/>
      </w:pPr>
      <w:r>
        <w:rPr>
          <w:rFonts w:ascii="Arial" w:cs="Arial" w:eastAsia="Arial" w:hAnsi="Arial"/>
          <w:b/>
          <w:bCs/>
          <w:color w:val="122510"/>
          <w:sz w:val="24"/>
          <w:szCs w:val="24"/>
        </w:rPr>
        <w:t xml:space="preserve">Approving it</w:t>
      </w:r>
    </w:p>
    <w:p>
      <w:pPr>
        <w:pStyle w:val="ListParagraph"/>
        <w:numPr>
          <w:ilvl w:val="0"/>
          <w:numId w:val="2"/>
        </w:numPr>
        <w:spacing w:after="80"/>
      </w:pPr>
      <w:r>
        <w:rPr>
          <w:rFonts w:ascii="Arial" w:cs="Arial" w:eastAsia="Arial" w:hAnsi="Arial"/>
          <w:color w:val="4B5845"/>
          <w:sz w:val="21"/>
          <w:szCs w:val="21"/>
        </w:rPr>
        <w:t xml:space="preserve">This template is a starting point, not professional advice. It should be reviewed and approved by your own board, and where relevant by your own legal or compliance advisers, before adoption.</w:t>
      </w:r>
    </w:p>
    <w:p>
      <w:pPr>
        <w:pStyle w:val="ListParagraph"/>
        <w:numPr>
          <w:ilvl w:val="0"/>
          <w:numId w:val="2"/>
        </w:numPr>
        <w:spacing w:after="80"/>
      </w:pPr>
      <w:r>
        <w:rPr>
          <w:rFonts w:ascii="Arial" w:cs="Arial" w:eastAsia="Arial" w:hAnsi="Arial"/>
          <w:color w:val="4B5845"/>
          <w:sz w:val="21"/>
          <w:szCs w:val="21"/>
        </w:rPr>
        <w:t xml:space="preserve">Once approved, record the date, the approver and the version in the version control box, and diarise the review date.</w:t>
      </w:r>
    </w:p>
    <w:p>
      <w:pPr>
        <w:pStyle w:val="Heading2"/>
        <w:spacing w:after="120" w:before="200"/>
      </w:pPr>
      <w:r>
        <w:rPr>
          <w:rFonts w:ascii="Arial" w:cs="Arial" w:eastAsia="Arial" w:hAnsi="Arial"/>
          <w:b/>
          <w:bCs/>
          <w:color w:val="122510"/>
          <w:sz w:val="24"/>
          <w:szCs w:val="24"/>
        </w:rPr>
        <w:t xml:space="preserve">How this policy relates to energy schemes</w:t>
      </w:r>
    </w:p>
    <w:p>
      <w:pPr>
        <w:pStyle w:val="ListParagraph"/>
        <w:numPr>
          <w:ilvl w:val="0"/>
          <w:numId w:val="2"/>
        </w:numPr>
        <w:spacing w:after="80"/>
      </w:pPr>
      <w:r>
        <w:rPr>
          <w:rFonts w:ascii="Arial" w:cs="Arial" w:eastAsia="Arial" w:hAnsi="Arial"/>
          <w:color w:val="4B5845"/>
          <w:sz w:val="21"/>
          <w:szCs w:val="21"/>
        </w:rPr>
        <w:t xml:space="preserve">A board-approved policy with named responsibilities, measured data and documented reviews is the kind of evidence that energy and carbon reporting frameworks generally expect an organisation to hold. This template supports that evidence base generically.</w:t>
      </w:r>
    </w:p>
    <w:p>
      <w:pPr>
        <w:pStyle w:val="ListParagraph"/>
        <w:numPr>
          <w:ilvl w:val="0"/>
          <w:numId w:val="2"/>
        </w:numPr>
        <w:spacing w:after="80"/>
      </w:pPr>
      <w:r>
        <w:rPr>
          <w:rFonts w:ascii="Arial" w:cs="Arial" w:eastAsia="Arial" w:hAnsi="Arial"/>
          <w:color w:val="4B5845"/>
          <w:sz w:val="21"/>
          <w:szCs w:val="21"/>
        </w:rPr>
        <w:t xml:space="preserve">It does not restate the mechanics of any scheme, and it does not tell you which obligations apply to you. Which schemes apply, their deadlines and their requirements must be checked against current official guidance for your organisation, and reviewed by your own advisers.</w:t>
      </w:r>
    </w:p>
    <w:p>
      <w:pPr>
        <w:pStyle w:val="ListParagraph"/>
        <w:numPr>
          <w:ilvl w:val="0"/>
          <w:numId w:val="2"/>
        </w:numPr>
        <w:spacing w:after="80"/>
      </w:pPr>
      <w:r>
        <w:rPr>
          <w:rFonts w:ascii="Arial" w:cs="Arial" w:eastAsia="Arial" w:hAnsi="Arial"/>
          <w:color w:val="4B5845"/>
          <w:sz w:val="21"/>
          <w:szCs w:val="21"/>
        </w:rPr>
        <w:t xml:space="preserve">Hawley Energy provides no assurance here that this template satisfies any particular scheme. Use it as structure, then verify against official sources.</w:t>
      </w:r>
    </w:p>
    <w:p>
      <w:pPr>
        <w:spacing w:before="300"/>
      </w:pPr>
      <w:r>
        <w:rPr>
          <w:rFonts w:ascii="Arial" w:cs="Arial" w:eastAsia="Arial" w:hAnsi="Arial"/>
          <w:i/>
          <w:iCs/>
          <w:color w:val="4B5845"/>
          <w:sz w:val="18"/>
          <w:szCs w:val="18"/>
        </w:rPr>
        <w:t xml:space="preserve">Hawley Energy: independent energy consultancy. www.hawleyenergy.co.uk, 01484 958761, hello@hawleyenergy.co.uk</w:t>
      </w:r>
    </w:p>
    <w:sectPr>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4B584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e4ab28dbef8da14a0b4a8bbee6f874525aa6a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2026-10-16T09:52:51.870Z</dcterms:created>
  <dcterms:modified xsi:type="dcterms:W3CDTF">2026-10-16T09:52:51.870Z</dcterms:modified>
</cp:coreProperties>
</file>

<file path=docProps/custom.xml><?xml version="1.0" encoding="utf-8"?>
<Properties xmlns="http://schemas.openxmlformats.org/officeDocument/2006/custom-properties" xmlns:vt="http://schemas.openxmlformats.org/officeDocument/2006/docPropsVTypes"/>
</file>